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D47D" w14:textId="77777777" w:rsidR="008679DA" w:rsidRDefault="008679DA" w:rsidP="008679DA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w14:paraId="6098D489" w14:textId="65A06063" w:rsidR="008679DA" w:rsidRDefault="008679DA" w:rsidP="008679D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ARCHIVED D&amp;I ARTICLES</w:t>
      </w:r>
    </w:p>
    <w:p w14:paraId="549EB0C5" w14:textId="18BDCB09" w:rsidR="008679DA" w:rsidRDefault="008679DA" w:rsidP="008679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3/5/22</w:t>
      </w:r>
    </w:p>
    <w:p w14:paraId="54894454" w14:textId="0D21B13B" w:rsidR="008679DA" w:rsidRPr="008679DA" w:rsidRDefault="008679DA" w:rsidP="00867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DA">
        <w:rPr>
          <w:rFonts w:ascii="Times New Roman" w:eastAsia="Times New Roman" w:hAnsi="Times New Roman" w:cs="Times New Roman"/>
          <w:sz w:val="24"/>
          <w:szCs w:val="24"/>
        </w:rPr>
        <w:t>Diversity, Equity &amp; Inclusion Resources: </w:t>
      </w:r>
      <w:hyperlink r:id="rId5" w:tgtFrame="_blank" w:history="1">
        <w:r w:rsidRPr="008679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https://www.shrm.org/resourcesandtools/hr-topics/pages/diversity-equity-and-inclusion.aspx</w:t>
        </w:r>
      </w:hyperlink>
    </w:p>
    <w:p w14:paraId="310F4001" w14:textId="77777777" w:rsidR="008679DA" w:rsidRPr="008679DA" w:rsidRDefault="008679DA" w:rsidP="00867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DA">
        <w:rPr>
          <w:rFonts w:ascii="Times New Roman" w:eastAsia="Times New Roman" w:hAnsi="Times New Roman" w:cs="Times New Roman"/>
          <w:sz w:val="24"/>
          <w:szCs w:val="24"/>
        </w:rPr>
        <w:t>Empathetic Workplaces Are Underpinning to Inclusiveness, Equity: </w:t>
      </w:r>
      <w:hyperlink r:id="rId6" w:tgtFrame="_blank" w:history="1">
        <w:r w:rsidRPr="008679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https://www.shrm.org/ResourcesAndTools/hr-topics/behavioral-competencies/global-and-cultural-effectiveness/Pages/Empathetic-Workplaces-Are-Underpinning-to-Inclusiveness-Equity.aspx</w:t>
        </w:r>
      </w:hyperlink>
    </w:p>
    <w:p w14:paraId="31173903" w14:textId="77777777" w:rsidR="008679DA" w:rsidRPr="008679DA" w:rsidRDefault="008679DA" w:rsidP="00867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DA">
        <w:rPr>
          <w:rFonts w:ascii="Times New Roman" w:eastAsia="Times New Roman" w:hAnsi="Times New Roman" w:cs="Times New Roman"/>
          <w:sz w:val="24"/>
          <w:szCs w:val="24"/>
        </w:rPr>
        <w:t>Flexible Work Options, Career Development Can Keep Women in the Workforce: </w:t>
      </w:r>
      <w:hyperlink r:id="rId7" w:tgtFrame="_blank" w:history="1">
        <w:r w:rsidRPr="008679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https://www.shrm.org/ResourcesAndTools/hr-topics/behavioral-competencies/global-and-cultural-effectiveness/Pages/Flexible-Work-Options-Career-Development-Can-Keep-Women-in-the-Workforce-.aspx</w:t>
        </w:r>
      </w:hyperlink>
    </w:p>
    <w:p w14:paraId="412CA9C4" w14:textId="77777777" w:rsidR="00EB05F1" w:rsidRDefault="00EB05F1"/>
    <w:sectPr w:rsidR="00EB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0397D"/>
    <w:multiLevelType w:val="multilevel"/>
    <w:tmpl w:val="69FC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DA"/>
    <w:rsid w:val="008679DA"/>
    <w:rsid w:val="00E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7C30"/>
  <w15:chartTrackingRefBased/>
  <w15:docId w15:val="{E7B00600-2717-48EB-91AA-837421DB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7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hrm.org/ResourcesAndTools/hr-topics/behavioral-competencies/global-and-cultural-effectiveness/Pages/Flexible-Work-Options-Career-Development-Can-Keep-Women-in-the-Workforce-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rm.org/ResourcesAndTools/hr-topics/behavioral-competencies/global-and-cultural-effectiveness/Pages/Empathetic-Workplaces-Are-Underpinning-to-Inclusiveness-Equity.aspx" TargetMode="External"/><Relationship Id="rId5" Type="http://schemas.openxmlformats.org/officeDocument/2006/relationships/hyperlink" Target="https://www.shrm.org/resourcesandtools/hr-topics/pages/diversity-equity-and-inclusion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1</cp:revision>
  <dcterms:created xsi:type="dcterms:W3CDTF">2022-03-05T15:19:00Z</dcterms:created>
  <dcterms:modified xsi:type="dcterms:W3CDTF">2022-03-05T15:20:00Z</dcterms:modified>
</cp:coreProperties>
</file>