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before="15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SHRM Northstate</w:t>
      </w:r>
    </w:p>
    <w:p w:rsidR="00000000" w:rsidDel="00000000" w:rsidP="00000000" w:rsidRDefault="00000000" w:rsidRPr="00000000" w14:paraId="00000002">
      <w:pPr>
        <w:shd w:fill="ffffff" w:val="clear"/>
        <w:spacing w:after="150" w:before="150" w:lineRule="auto"/>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Workforce Readiness Director</w:t>
      </w:r>
    </w:p>
    <w:p w:rsidR="00000000" w:rsidDel="00000000" w:rsidP="00000000" w:rsidRDefault="00000000" w:rsidRPr="00000000" w14:paraId="00000003">
      <w:pPr>
        <w:shd w:fill="ffffff" w:val="clear"/>
        <w:spacing w:after="15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Function:</w:t>
      </w:r>
    </w:p>
    <w:p w:rsidR="00000000" w:rsidDel="00000000" w:rsidP="00000000" w:rsidRDefault="00000000" w:rsidRPr="00000000" w14:paraId="00000004">
      <w:pPr>
        <w:shd w:fill="ffffff" w:val="clear"/>
        <w:spacing w:after="150" w:lineRule="auto"/>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Monitor and evaluate national, state and local activities addressing the broad spectrum of workforce readiness issues impacting both students and other untapped labor pools.  Plan and encourage chapter involvement in activities impacting the workforce readiness arena.  Work in cooperation with SHRM California workforce readiness advocates as well as local organizations supporting workforce readiness. </w:t>
      </w:r>
    </w:p>
    <w:p w:rsidR="00000000" w:rsidDel="00000000" w:rsidP="00000000" w:rsidRDefault="00000000" w:rsidRPr="00000000" w14:paraId="00000005">
      <w:pPr>
        <w:shd w:fill="ffffff" w:val="clear"/>
        <w:spacing w:after="15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Responsible To:</w:t>
      </w:r>
    </w:p>
    <w:p w:rsidR="00000000" w:rsidDel="00000000" w:rsidP="00000000" w:rsidRDefault="00000000" w:rsidRPr="00000000" w14:paraId="00000006">
      <w:pPr>
        <w:numPr>
          <w:ilvl w:val="0"/>
          <w:numId w:val="2"/>
        </w:numPr>
        <w:shd w:fill="ffffff" w:val="clear"/>
        <w:spacing w:after="0" w:before="280" w:line="259" w:lineRule="auto"/>
        <w:ind w:left="720" w:hanging="360"/>
        <w:rPr>
          <w:color w:val="333333"/>
          <w:sz w:val="20"/>
          <w:szCs w:val="20"/>
        </w:rPr>
      </w:pPr>
      <w:r w:rsidDel="00000000" w:rsidR="00000000" w:rsidRPr="00000000">
        <w:rPr>
          <w:rFonts w:ascii="Calibri" w:cs="Calibri" w:eastAsia="Calibri" w:hAnsi="Calibri"/>
          <w:color w:val="333333"/>
          <w:sz w:val="20"/>
          <w:szCs w:val="20"/>
          <w:rtl w:val="0"/>
        </w:rPr>
        <w:t xml:space="preserve">The members of the chapter</w:t>
      </w:r>
    </w:p>
    <w:p w:rsidR="00000000" w:rsidDel="00000000" w:rsidP="00000000" w:rsidRDefault="00000000" w:rsidRPr="00000000" w14:paraId="00000007">
      <w:pPr>
        <w:numPr>
          <w:ilvl w:val="0"/>
          <w:numId w:val="2"/>
        </w:numPr>
        <w:shd w:fill="ffffff" w:val="clear"/>
        <w:spacing w:after="0" w:before="0" w:line="259" w:lineRule="auto"/>
        <w:ind w:left="720" w:hanging="360"/>
        <w:rPr>
          <w:color w:val="333333"/>
          <w:sz w:val="20"/>
          <w:szCs w:val="20"/>
        </w:rPr>
      </w:pPr>
      <w:r w:rsidDel="00000000" w:rsidR="00000000" w:rsidRPr="00000000">
        <w:rPr>
          <w:rFonts w:ascii="Calibri" w:cs="Calibri" w:eastAsia="Calibri" w:hAnsi="Calibri"/>
          <w:color w:val="333333"/>
          <w:sz w:val="20"/>
          <w:szCs w:val="20"/>
          <w:rtl w:val="0"/>
        </w:rPr>
        <w:t xml:space="preserve">The chapter president and board</w:t>
      </w:r>
    </w:p>
    <w:p w:rsidR="00000000" w:rsidDel="00000000" w:rsidP="00000000" w:rsidRDefault="00000000" w:rsidRPr="00000000" w14:paraId="00000008">
      <w:pPr>
        <w:numPr>
          <w:ilvl w:val="0"/>
          <w:numId w:val="2"/>
        </w:numPr>
        <w:shd w:fill="ffffff" w:val="clear"/>
        <w:spacing w:after="280" w:before="0" w:line="259" w:lineRule="auto"/>
        <w:ind w:left="720" w:hanging="360"/>
        <w:rPr>
          <w:color w:val="333333"/>
          <w:sz w:val="20"/>
          <w:szCs w:val="20"/>
        </w:rPr>
      </w:pPr>
      <w:r w:rsidDel="00000000" w:rsidR="00000000" w:rsidRPr="00000000">
        <w:rPr>
          <w:rFonts w:ascii="Calibri" w:cs="Calibri" w:eastAsia="Calibri" w:hAnsi="Calibri"/>
          <w:color w:val="333333"/>
          <w:sz w:val="20"/>
          <w:szCs w:val="20"/>
          <w:rtl w:val="0"/>
        </w:rPr>
        <w:t xml:space="preserve">Core Leadership Area director and state director</w:t>
      </w:r>
    </w:p>
    <w:p w:rsidR="00000000" w:rsidDel="00000000" w:rsidP="00000000" w:rsidRDefault="00000000" w:rsidRPr="00000000" w14:paraId="00000009">
      <w:pPr>
        <w:shd w:fill="ffffff" w:val="clear"/>
        <w:spacing w:line="259" w:lineRule="auto"/>
        <w:ind w:left="360" w:hanging="360"/>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Responsibilities:</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Serve as a resource and advocate for chapter members on workforce readiness issues to the chapter on related issues.  Identify and evaluate issues that impact workforce readiness. Advocate for workforce readiness initiatives within the chapter and the community.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Partner with business, local workforce readiness organizations and schools to support workforce readiness efforts. Create communication and education plans to raise awareness of the value of workforce readiness programs to members.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Identify and support workshops/seminars/events/activities that promote workforce readiness issues. </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Monitor local activities concerning workforce readiness and provide timely information to the chapter board.</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Provide special recognition for chapter members and for local programs that promote betterment of the local workforce.</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Recommend related projects to be supported by the chapter. Recommend chapter programs that highlight workforce readiness related efforts and issues.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Participate in SHRM Core Leadership Area (CLA) teleconferences/webcasts as appropriate. Utilize the Volunteer Leaders Resource Center (VLRC) for ideas and best practices.  Maintain contact with SHRM California Director and SHRM Foundation contacts as needed. Establish communications with other Chapter Chairs to stay up-to-date with best practices and/or get ideas.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Participate in the development and implementation of short-term and long-term strategy planning for the Chapter.</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Review SHAPE Initiatives in the SHRM Chapter Planning Document and the SHRM Chapter Activities by Month to ensure all related deadlines and activities are complete.  Provide input as appropriate or requested.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Attend and participate in chapter programs and Board meetings as required by the By Laws.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Respond to any other requirements of the chapter president and state workforce readiness director.</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Carry out ad hoc assignments of the President.</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Represent the Chapter in the Human Resource and related Business Community.</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Maintain good standing as a SHRM member.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8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Develop future leader to fill role as part of the succession planning. Upon completion of the position’s term, assist the incoming Director to assure a smooth transition of responsibilities and continuity of knowledge and resources.</w:t>
      </w:r>
    </w:p>
    <w:p w:rsidR="00000000" w:rsidDel="00000000" w:rsidP="00000000" w:rsidRDefault="00000000" w:rsidRPr="00000000" w14:paraId="00000019">
      <w:pPr>
        <w:shd w:fill="ffffff" w:val="clear"/>
        <w:spacing w:line="259" w:lineRule="auto"/>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Resources Available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270" w:right="0" w:hanging="27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SHRM Volunteer Leader Resource Center: </w:t>
      </w:r>
      <w:hyperlink r:id="rId6">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https://vlrc.shrm.org/s/</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59" w:lineRule="auto"/>
        <w:ind w:left="1080" w:right="0" w:hanging="36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Volunteer Leader Learning: </w:t>
      </w:r>
      <w:hyperlink r:id="rId7">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https://vlrc.shrm.org/s/topic/0TO1T000000cDrMWAU/volunteer-leader-learning</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59" w:lineRule="auto"/>
        <w:ind w:left="1080" w:right="0" w:hanging="36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Campaign in a Box - </w:t>
      </w:r>
      <w:hyperlink r:id="rId8">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https://socialpresskit.com/shrm-we-are-work</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270" w:right="0" w:hanging="27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SHRM California CLA director </w:t>
      </w:r>
      <w:hyperlink r:id="rId9">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https://www.calshrm.org/</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259" w:lineRule="auto"/>
        <w:ind w:left="270" w:right="0" w:hanging="27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Other SHRM Chapter websites</w:t>
      </w:r>
    </w:p>
    <w:p w:rsidR="00000000" w:rsidDel="00000000" w:rsidP="00000000" w:rsidRDefault="00000000" w:rsidRPr="00000000" w14:paraId="0000001F">
      <w:pPr>
        <w:shd w:fill="ffffff" w:val="clear"/>
        <w:spacing w:after="280" w:before="120" w:line="259" w:lineRule="auto"/>
        <w:rPr>
          <w:rFonts w:ascii="Calibri" w:cs="Calibri" w:eastAsia="Calibri" w:hAnsi="Calibri"/>
          <w:color w:val="333333"/>
          <w:sz w:val="20"/>
          <w:szCs w:val="20"/>
        </w:rPr>
      </w:pPr>
      <w:r w:rsidDel="00000000" w:rsidR="00000000" w:rsidRPr="00000000">
        <w:rPr>
          <w:rtl w:val="0"/>
        </w:rPr>
      </w:r>
    </w:p>
    <w:p w:rsidR="00000000" w:rsidDel="00000000" w:rsidP="00000000" w:rsidRDefault="00000000" w:rsidRPr="00000000" w14:paraId="00000020">
      <w:pPr>
        <w:shd w:fill="ffffff" w:val="clear"/>
        <w:spacing w:before="120" w:line="259" w:lineRule="auto"/>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Revised: 11/24/25</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72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lshrm.org/" TargetMode="External"/><Relationship Id="rId5" Type="http://schemas.openxmlformats.org/officeDocument/2006/relationships/styles" Target="styles.xml"/><Relationship Id="rId6" Type="http://schemas.openxmlformats.org/officeDocument/2006/relationships/hyperlink" Target="https://vlrc.shrm.org/s/" TargetMode="External"/><Relationship Id="rId7" Type="http://schemas.openxmlformats.org/officeDocument/2006/relationships/hyperlink" Target="https://vlrc.shrm.org/s/topic/0TO1T000000cDrMWAU/volunteer-leader-learning" TargetMode="External"/><Relationship Id="rId8" Type="http://schemas.openxmlformats.org/officeDocument/2006/relationships/hyperlink" Target="https://socialpresskit.com/shrm-we-are-wor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